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before="0"/>
        <w:ind w:firstLine="0" w:left="0" w:right="0"/>
        <w:jc w:val="center"/>
        <w:rPr>
          <w:rFonts w:ascii="Times New Roman" w:hAnsi="Times New Roman"/>
          <w:b w:val="1"/>
          <w:sz w:val="24"/>
        </w:rPr>
      </w:pPr>
      <w:r>
        <w:rPr>
          <w:rFonts w:ascii="Times New Roman" w:hAnsi="Times New Roman"/>
          <w:b w:val="1"/>
          <w:sz w:val="24"/>
        </w:rPr>
        <w:t>ОТВЕТСТВЕННОСТЬ ЗА РАСПРОСТРАНЕНИЕ НАРКОТИЧЕСКИХ СРЕДСТВ</w:t>
      </w:r>
      <w:r>
        <w:rPr>
          <w:rFonts w:ascii="Times New Roman" w:hAnsi="Times New Roman"/>
        </w:rPr>
        <w:br/>
      </w:r>
    </w:p>
    <w:p w14:paraId="02000000">
      <w:pPr>
        <w:widowControl w:val="1"/>
        <w:spacing w:after="0" w:before="0"/>
        <w:ind w:firstLine="0" w:left="0" w:right="0"/>
        <w:jc w:val="center"/>
        <w:rPr>
          <w:rFonts w:ascii="Times New Roman" w:hAnsi="Times New Roman"/>
          <w:b w:val="1"/>
          <w:sz w:val="24"/>
        </w:rPr>
      </w:pPr>
      <w:r>
        <w:rPr>
          <w:rFonts w:ascii="Times New Roman" w:hAnsi="Times New Roman"/>
          <w:b w:val="1"/>
          <w:sz w:val="24"/>
        </w:rPr>
        <w:t>И ПСИХОТРОПНЫХ ВЕЩЕСТВ</w:t>
      </w:r>
    </w:p>
    <w:p w14:paraId="03000000">
      <w:pPr>
        <w:widowControl w:val="1"/>
        <w:spacing w:after="0" w:before="0"/>
        <w:ind w:firstLine="0" w:left="0" w:right="0"/>
        <w:jc w:val="both"/>
        <w:rPr>
          <w:rFonts w:ascii="Times New Roman" w:hAnsi="Times New Roman"/>
          <w:b w:val="0"/>
        </w:rPr>
      </w:pPr>
      <w:r>
        <w:rPr>
          <w:rFonts w:ascii="Times New Roman" w:hAnsi="Times New Roman"/>
          <w:b w:val="0"/>
        </w:rPr>
        <w:t> </w:t>
      </w:r>
    </w:p>
    <w:p w14:paraId="04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Ответственность за незаконное распространение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предусмотрена</w:t>
      </w:r>
      <w:r>
        <w:rPr>
          <w:rFonts w:ascii="Times New Roman" w:hAnsi="Times New Roman"/>
          <w:b w:val="0"/>
        </w:rPr>
        <w:t xml:space="preserve"> </w:t>
      </w:r>
      <w:r>
        <w:rPr>
          <w:rFonts w:ascii="Times New Roman" w:hAnsi="Times New Roman"/>
          <w:b w:val="0"/>
          <w:strike w:val="0"/>
          <w:color w:val="0000FF"/>
          <w:u w:color="000000" w:val="none"/>
        </w:rPr>
        <w:t>ст. 228.1</w:t>
      </w:r>
      <w:r>
        <w:rPr>
          <w:rFonts w:ascii="Times New Roman" w:hAnsi="Times New Roman"/>
          <w:b w:val="0"/>
        </w:rPr>
        <w:t xml:space="preserve"> </w:t>
      </w:r>
      <w:r>
        <w:rPr>
          <w:rFonts w:ascii="Times New Roman" w:hAnsi="Times New Roman"/>
          <w:b w:val="0"/>
        </w:rPr>
        <w:t>УК РФ и формулируется как ответственность за</w:t>
      </w:r>
      <w:r>
        <w:rPr>
          <w:rFonts w:ascii="Times New Roman" w:hAnsi="Times New Roman"/>
          <w:b w:val="0"/>
        </w:rPr>
        <w:t xml:space="preserve"> </w:t>
      </w:r>
      <w:r>
        <w:rPr>
          <w:rFonts w:ascii="Times New Roman" w:hAnsi="Times New Roman"/>
          <w:b w:val="1"/>
        </w:rPr>
        <w:t>незаконный сбыт</w:t>
      </w:r>
      <w:r>
        <w:rPr>
          <w:rFonts w:ascii="Times New Roman" w:hAnsi="Times New Roman"/>
          <w:b w:val="0"/>
        </w:rPr>
        <w:t xml:space="preserve"> </w:t>
      </w:r>
      <w:r>
        <w:rPr>
          <w:rFonts w:ascii="Times New Roman" w:hAnsi="Times New Roman"/>
          <w:b w:val="0"/>
        </w:rPr>
        <w:t>таких средств и веществ.</w:t>
      </w:r>
    </w:p>
    <w:p w14:paraId="05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Под незаконным сбытом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незаконную деятельность лица, направленную на их возмездную либо безвозмездную реализацию (продажа, дарение, обмен, уплата долга, дача взаймы и т.д.) другому лицу.</w:t>
      </w:r>
    </w:p>
    <w:p w14:paraId="06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Незаконный оборот наркотических средств составляют незаконные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РФ, вывоз с территории РФ, уничтожение наркотических средств, психотропных веществ и их прекурсоров; оборот, осуществляемый в нарушение законодательства РФ, который составляют административно и уголовно наказуемые деяния.</w:t>
      </w:r>
    </w:p>
    <w:p w14:paraId="07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Распространение наркотических средств другому лицу возможно любым способом, в том числе и безвозмездно.</w:t>
      </w:r>
    </w:p>
    <w:p w14:paraId="08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Одним из самых распространенных способов реализации наркотических средств является их продажа. В последнее время участились случаи сбыта наркотических средств посредством размещения наркотиков в "тайники-закладки".</w:t>
      </w:r>
    </w:p>
    <w:p w14:paraId="09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Действия лица, передавшего реализуемые наркотические средства путем сообщения приобретателю о месте их хранения, путем проведения закладки наркотика в обусловленном с покупателем месте, образуют объективную сторону сбыта наркотических средств</w:t>
      </w:r>
      <w:r>
        <w:rPr>
          <w:rFonts w:ascii="Times New Roman" w:hAnsi="Times New Roman"/>
          <w:b w:val="0"/>
        </w:rPr>
        <w:t>.</w:t>
      </w:r>
    </w:p>
    <w:p w14:paraId="0A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 xml:space="preserve">Об умысле на сбыт наркотических средств могут свидетельствовать при наличии к тому оснований их приобретение, изготовление, переработка, хранение, перевозка лицом, самим их не употребляющим, количество (объем), размещение в удобной для передачи расфасовке, наличие соответствующей договоренности с потребителями и т.п. </w:t>
      </w:r>
    </w:p>
    <w:p w14:paraId="0B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 xml:space="preserve">Факт хранения наркотических средств в крупном размере, расфасованных в удобную для последующего сбыта упаковку, также может свидетельствовать о направленности умысла лица на незаконный сбыт. </w:t>
      </w:r>
    </w:p>
    <w:p w14:paraId="0C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Перевозка большого количества (объема) наркотических средств лицом, самим их не употребляющим, в совокупности с иными доказательствами может свидетельствовать об умысле лица на сбыт этих средств</w:t>
      </w:r>
      <w:r>
        <w:rPr>
          <w:rFonts w:ascii="Times New Roman" w:hAnsi="Times New Roman"/>
          <w:b w:val="0"/>
        </w:rPr>
        <w:t>.</w:t>
      </w:r>
    </w:p>
    <w:p w14:paraId="0D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Как следует из диспозиции</w:t>
      </w:r>
      <w:r>
        <w:rPr>
          <w:rFonts w:ascii="Times New Roman" w:hAnsi="Times New Roman"/>
          <w:b w:val="0"/>
          <w:u w:val="none"/>
        </w:rPr>
        <w:t xml:space="preserve"> </w:t>
      </w:r>
      <w:r>
        <w:rPr>
          <w:rFonts w:ascii="Times New Roman" w:hAnsi="Times New Roman"/>
          <w:b w:val="0"/>
          <w:strike w:val="0"/>
          <w:color w:val="0000FF"/>
          <w:u w:color="000000" w:val="none"/>
        </w:rPr>
        <w:t>ч. 1 ст. 228.1</w:t>
      </w:r>
      <w:r>
        <w:rPr>
          <w:rFonts w:ascii="Times New Roman" w:hAnsi="Times New Roman"/>
          <w:b w:val="0"/>
        </w:rPr>
        <w:t xml:space="preserve"> </w:t>
      </w:r>
      <w:r>
        <w:rPr>
          <w:rFonts w:ascii="Times New Roman" w:hAnsi="Times New Roman"/>
          <w:b w:val="0"/>
        </w:rPr>
        <w:t>УК РФ, ответственность за сбыт наркотических средств наступает независимо от их размера и наказывается лишением свободы на срок от 4 до 8 лет с ограничением свободы на срок до 1 года либо без такового. Однако в случае сбыта наркотического средства в значительном размере квалификация будет по</w:t>
      </w:r>
      <w:r>
        <w:rPr>
          <w:rFonts w:ascii="Times New Roman" w:hAnsi="Times New Roman"/>
          <w:b w:val="0"/>
          <w:u w:val="none"/>
        </w:rPr>
        <w:t xml:space="preserve"> </w:t>
      </w:r>
      <w:r>
        <w:rPr>
          <w:rFonts w:ascii="Times New Roman" w:hAnsi="Times New Roman"/>
          <w:b w:val="0"/>
          <w:strike w:val="0"/>
          <w:color w:val="0000FF"/>
          <w:u w:color="000000" w:val="none"/>
        </w:rPr>
        <w:t>п. "б" ч. 3 ст. 228.</w:t>
      </w:r>
      <w:r>
        <w:rPr>
          <w:rFonts w:ascii="Times New Roman" w:hAnsi="Times New Roman"/>
          <w:b w:val="0"/>
          <w:strike w:val="0"/>
          <w:color w:val="0000FF"/>
          <w:u w:color="000000" w:val="single"/>
        </w:rPr>
        <w:t>1</w:t>
      </w:r>
      <w:r>
        <w:rPr>
          <w:rFonts w:ascii="Times New Roman" w:hAnsi="Times New Roman"/>
          <w:b w:val="0"/>
        </w:rPr>
        <w:t xml:space="preserve"> </w:t>
      </w:r>
      <w:r>
        <w:rPr>
          <w:rFonts w:ascii="Times New Roman" w:hAnsi="Times New Roman"/>
          <w:b w:val="0"/>
        </w:rPr>
        <w:t>УК РФ (наказываются лишением свободы на срок от 8 до 15 лет со штрафом в размере до 500 000 руб. или в размере заработной платы или иного дохода осужденного за период до 3 лет либо без такового и с ограничением свободы на срок до 2 лет либо без такового), в крупном - по</w:t>
      </w:r>
      <w:r>
        <w:rPr>
          <w:rFonts w:ascii="Times New Roman" w:hAnsi="Times New Roman"/>
          <w:b w:val="0"/>
        </w:rPr>
        <w:t xml:space="preserve"> </w:t>
      </w:r>
      <w:r>
        <w:rPr>
          <w:rFonts w:ascii="Times New Roman" w:hAnsi="Times New Roman"/>
          <w:b w:val="0"/>
          <w:strike w:val="0"/>
          <w:color w:val="0000FF"/>
          <w:u w:color="000000" w:val="none"/>
        </w:rPr>
        <w:t>п. "г" ч. 4 ст. 228.1</w:t>
      </w:r>
      <w:r>
        <w:rPr>
          <w:rFonts w:ascii="Times New Roman" w:hAnsi="Times New Roman"/>
          <w:b w:val="0"/>
          <w:u w:val="none"/>
        </w:rPr>
        <w:t xml:space="preserve"> </w:t>
      </w:r>
      <w:r>
        <w:rPr>
          <w:rFonts w:ascii="Times New Roman" w:hAnsi="Times New Roman"/>
          <w:b w:val="0"/>
        </w:rPr>
        <w:t>УК РФ (наказываются лишением свободы на срок от 10 до 20 лет с лишением права занимать определенные должности или заниматься определенной деятельностью на срок до 20 лет или без такового и со штрафом в размере до 1 000 000 руб. или в размере заработной платы или иного дохода осужденного за период до 5 лет либо без такового), в особо крупном - по</w:t>
      </w:r>
      <w:r>
        <w:rPr>
          <w:rFonts w:ascii="Times New Roman" w:hAnsi="Times New Roman"/>
          <w:b w:val="0"/>
          <w:u w:val="none"/>
        </w:rPr>
        <w:t xml:space="preserve"> </w:t>
      </w:r>
      <w:r>
        <w:rPr>
          <w:rFonts w:ascii="Times New Roman" w:hAnsi="Times New Roman"/>
          <w:b w:val="0"/>
          <w:strike w:val="0"/>
          <w:color w:val="0000FF"/>
          <w:u w:color="000000" w:val="none"/>
        </w:rPr>
        <w:t>ч. 5 ст. 228.1</w:t>
      </w:r>
      <w:r>
        <w:rPr>
          <w:rFonts w:ascii="Times New Roman" w:hAnsi="Times New Roman"/>
          <w:b w:val="0"/>
        </w:rPr>
        <w:t xml:space="preserve"> </w:t>
      </w:r>
      <w:r>
        <w:rPr>
          <w:rFonts w:ascii="Times New Roman" w:hAnsi="Times New Roman"/>
          <w:b w:val="0"/>
        </w:rPr>
        <w:t>УК РФ (наказываются лишением свободы на срок от 15 до 20 лет с лишением права занимать определенные должности или заниматься определенной деятельностью на срок до 20 лет или без такового и со штрафом в размере до 1 000 000 руб. или в размере заработной платы или иного дохода осужденного за период до 5 лет либо без такового или пожизненным лишением свободы).</w:t>
      </w:r>
    </w:p>
    <w:p w14:paraId="0E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Также</w:t>
      </w:r>
      <w:r>
        <w:rPr>
          <w:rFonts w:ascii="Times New Roman" w:hAnsi="Times New Roman"/>
          <w:b w:val="0"/>
        </w:rPr>
        <w:t xml:space="preserve"> </w:t>
      </w:r>
      <w:r>
        <w:rPr>
          <w:rFonts w:ascii="Times New Roman" w:hAnsi="Times New Roman"/>
          <w:b w:val="0"/>
          <w:strike w:val="0"/>
          <w:color w:val="0000FF"/>
          <w:u w:color="000000" w:val="single"/>
        </w:rPr>
        <w:t>УК</w:t>
      </w:r>
      <w:r>
        <w:rPr>
          <w:rFonts w:ascii="Times New Roman" w:hAnsi="Times New Roman"/>
          <w:b w:val="0"/>
        </w:rPr>
        <w:t xml:space="preserve"> </w:t>
      </w:r>
      <w:r>
        <w:rPr>
          <w:rFonts w:ascii="Times New Roman" w:hAnsi="Times New Roman"/>
          <w:b w:val="0"/>
        </w:rPr>
        <w:t>РФ содержит положения, регламентирующие особенности назначения наказания лицам, совершившим преступления в несовершеннолетнем возрасте.</w:t>
      </w:r>
    </w:p>
    <w:p w14:paraId="0F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В соответствии с</w:t>
      </w:r>
      <w:r>
        <w:rPr>
          <w:rFonts w:ascii="Times New Roman" w:hAnsi="Times New Roman"/>
          <w:b w:val="0"/>
          <w:u w:val="none"/>
        </w:rPr>
        <w:t xml:space="preserve"> </w:t>
      </w:r>
      <w:r>
        <w:rPr>
          <w:rFonts w:ascii="Times New Roman" w:hAnsi="Times New Roman"/>
          <w:b w:val="0"/>
          <w:strike w:val="0"/>
          <w:color w:val="0000FF"/>
          <w:u w:color="000000" w:val="none"/>
        </w:rPr>
        <w:t>ч. 6 ст. 88</w:t>
      </w:r>
      <w:r>
        <w:rPr>
          <w:rFonts w:ascii="Times New Roman" w:hAnsi="Times New Roman"/>
          <w:b w:val="0"/>
        </w:rPr>
        <w:t xml:space="preserve"> </w:t>
      </w:r>
      <w:r>
        <w:rPr>
          <w:rFonts w:ascii="Times New Roman" w:hAnsi="Times New Roman"/>
          <w:b w:val="0"/>
        </w:rPr>
        <w:t>УК РФ несовершеннолетним, совершившим преступления в возрасте до 16 лет, наказание в виде лишения свободы назначается на срок не свыше 6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10 лет.</w:t>
      </w:r>
    </w:p>
    <w:p w14:paraId="10000000">
      <w:pPr>
        <w:widowControl w:val="1"/>
        <w:spacing w:after="0" w:before="0" w:line="240" w:lineRule="auto"/>
        <w:ind w:firstLine="709" w:left="0" w:right="0"/>
        <w:jc w:val="both"/>
        <w:rPr>
          <w:rFonts w:ascii="Times New Roman" w:hAnsi="Times New Roman"/>
          <w:b w:val="0"/>
        </w:rPr>
      </w:pPr>
      <w:r>
        <w:rPr>
          <w:rFonts w:ascii="Times New Roman" w:hAnsi="Times New Roman"/>
          <w:b w:val="0"/>
        </w:rPr>
        <w:t xml:space="preserve">С 1 марта вводится ответственность за пропаганду в интернете незаконного оборота и потребление наркотиков. </w:t>
      </w:r>
      <w:r>
        <w:rPr>
          <w:rFonts w:ascii="Times New Roman" w:hAnsi="Times New Roman"/>
          <w:b w:val="0"/>
        </w:rPr>
        <w:t>Норма распространяется на лиц, которых в течение года 2 раза привлекли к административной ответственности за аналогичные нарушения или которые имеют судимость по такой статье.</w:t>
      </w:r>
    </w:p>
    <w:p w14:paraId="11000000">
      <w:pPr>
        <w:widowControl w:val="1"/>
        <w:spacing w:after="0" w:before="0" w:line="240" w:lineRule="auto"/>
        <w:ind w:firstLine="709" w:left="0" w:right="0"/>
        <w:jc w:val="both"/>
        <w:rPr>
          <w:rFonts w:ascii="Times New Roman" w:hAnsi="Times New Roman"/>
          <w:b w:val="0"/>
        </w:rPr>
      </w:pPr>
      <w:r>
        <w:rPr>
          <w:rFonts w:ascii="Times New Roman" w:hAnsi="Times New Roman"/>
          <w:b w:val="1"/>
        </w:rPr>
        <w:t>Законодательством предусмотрено освобождение от уголовной ответственности за преступления в сфере незаконного оборота наркотических средств за добровольную сдачу</w:t>
      </w:r>
      <w:r>
        <w:rPr>
          <w:rFonts w:ascii="Times New Roman" w:hAnsi="Times New Roman"/>
          <w:b w:val="0"/>
        </w:rPr>
        <w:t>.</w:t>
      </w:r>
    </w:p>
    <w:p w14:paraId="12000000">
      <w:pPr>
        <w:widowControl w:val="1"/>
        <w:spacing w:before="0" w:line="240" w:lineRule="auto"/>
        <w:ind w:firstLine="709"/>
        <w:jc w:val="both"/>
        <w:rPr>
          <w:rFonts w:ascii="Times New Roman" w:hAnsi="Times New Roman"/>
        </w:rPr>
      </w:pPr>
      <w:r>
        <w:rPr>
          <w:rFonts w:ascii="Times New Roman" w:hAnsi="Times New Roman"/>
          <w:sz w:val="24"/>
        </w:rPr>
        <w:t xml:space="preserve"> Добровольная сдача наркотических средств является специальным видом освобождения от уголовной ответственности, предусмотренным </w:t>
      </w:r>
      <w:r>
        <w:rPr>
          <w:rFonts w:ascii="Times New Roman" w:hAnsi="Times New Roman"/>
          <w:sz w:val="24"/>
        </w:rPr>
        <w:t>примечанием 1 к ст. 228</w:t>
      </w:r>
      <w:r>
        <w:rPr>
          <w:rFonts w:ascii="Times New Roman" w:hAnsi="Times New Roman"/>
          <w:sz w:val="24"/>
        </w:rPr>
        <w:t xml:space="preserve"> УК РФ, не влекущим реабилитацию лица. Освобождение от уголовной ответственности по данному основанию возможно при одновременном соблюдении двух условий: добровольности сдачи и активного способствования лицом раскрытию или пресечению преступлений, связанных с незаконным оборотом наркотических средств, изобличению лиц, их совершивших, обнаружению имущества, добытого преступным путем.</w:t>
      </w:r>
    </w:p>
    <w:p w14:paraId="13000000">
      <w:pPr>
        <w:widowControl w:val="1"/>
        <w:spacing w:before="0" w:line="240" w:lineRule="auto"/>
        <w:ind w:firstLine="709"/>
        <w:jc w:val="both"/>
        <w:rPr>
          <w:rFonts w:ascii="Times New Roman" w:hAnsi="Times New Roman"/>
        </w:rPr>
      </w:pPr>
      <w:r>
        <w:rPr>
          <w:rFonts w:ascii="Times New Roman" w:hAnsi="Times New Roman"/>
          <w:sz w:val="24"/>
        </w:rPr>
        <w:t xml:space="preserve">Согласно </w:t>
      </w:r>
      <w:r>
        <w:rPr>
          <w:rFonts w:ascii="Times New Roman" w:hAnsi="Times New Roman"/>
          <w:sz w:val="24"/>
        </w:rPr>
        <w:t>примечанию 1 к ст. 228</w:t>
      </w:r>
      <w:r>
        <w:rPr>
          <w:rFonts w:ascii="Times New Roman" w:hAnsi="Times New Roman"/>
          <w:sz w:val="24"/>
        </w:rPr>
        <w:t xml:space="preserve"> УК РФ лицо, совершившее предусмотренное этой </w:t>
      </w:r>
      <w:r>
        <w:rPr>
          <w:rFonts w:ascii="Times New Roman" w:hAnsi="Times New Roman"/>
          <w:sz w:val="24"/>
        </w:rPr>
        <w:t>статьей</w:t>
      </w:r>
      <w:r>
        <w:rPr>
          <w:rFonts w:ascii="Times New Roman" w:hAnsi="Times New Roman"/>
          <w:sz w:val="24"/>
        </w:rPr>
        <w:t xml:space="preserve"> преступление, добровольно сдавшее наркотические средства и активно способствовавшее раскрытию или пресечению преступлений, связанных с незаконным оборотом наркотических средств,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w:t>
      </w:r>
    </w:p>
    <w:p w14:paraId="14000000">
      <w:pPr>
        <w:widowControl w:val="1"/>
        <w:spacing w:before="0" w:line="240" w:lineRule="auto"/>
        <w:ind w:firstLine="709"/>
        <w:jc w:val="both"/>
        <w:rPr>
          <w:rFonts w:ascii="Times New Roman" w:hAnsi="Times New Roman"/>
        </w:rPr>
      </w:pPr>
      <w:r>
        <w:rPr>
          <w:rFonts w:ascii="Times New Roman" w:hAnsi="Times New Roman"/>
          <w:sz w:val="24"/>
        </w:rPr>
        <w:t xml:space="preserve">Таким образом, законодателем сформулирована совокупность двух обязательных условий освобождения от уголовной ответственности по </w:t>
      </w:r>
      <w:r>
        <w:rPr>
          <w:rFonts w:ascii="Times New Roman" w:hAnsi="Times New Roman"/>
          <w:sz w:val="24"/>
        </w:rPr>
        <w:t>ст. 228</w:t>
      </w:r>
      <w:r>
        <w:rPr>
          <w:rFonts w:ascii="Times New Roman" w:hAnsi="Times New Roman"/>
          <w:sz w:val="24"/>
        </w:rPr>
        <w:t xml:space="preserve"> УК РФ в связи с добровольной сдачей наркотических средств:</w:t>
      </w:r>
    </w:p>
    <w:p w14:paraId="15000000">
      <w:pPr>
        <w:widowControl w:val="1"/>
        <w:spacing w:before="0" w:line="240" w:lineRule="auto"/>
        <w:ind w:firstLine="709"/>
        <w:jc w:val="both"/>
        <w:rPr>
          <w:rFonts w:ascii="Times New Roman" w:hAnsi="Times New Roman"/>
        </w:rPr>
      </w:pPr>
      <w:r>
        <w:rPr>
          <w:rFonts w:ascii="Times New Roman" w:hAnsi="Times New Roman"/>
          <w:sz w:val="24"/>
        </w:rPr>
        <w:t>- добровольности действий лица;</w:t>
      </w:r>
    </w:p>
    <w:p w14:paraId="16000000">
      <w:pPr>
        <w:widowControl w:val="1"/>
        <w:spacing w:before="0" w:line="240" w:lineRule="auto"/>
        <w:ind w:firstLine="709"/>
        <w:jc w:val="both"/>
        <w:rPr>
          <w:rFonts w:ascii="Times New Roman" w:hAnsi="Times New Roman"/>
        </w:rPr>
      </w:pPr>
      <w:r>
        <w:rPr>
          <w:rFonts w:ascii="Times New Roman" w:hAnsi="Times New Roman"/>
          <w:sz w:val="24"/>
        </w:rPr>
        <w:t>- активного способствования раскрытию или пресечению преступлений, связанных с незаконным оборотом наркотических средств в указанных выше формах.</w:t>
      </w:r>
    </w:p>
    <w:p w14:paraId="17000000">
      <w:pPr>
        <w:widowControl w:val="1"/>
        <w:spacing w:before="0" w:line="240" w:lineRule="auto"/>
        <w:ind w:firstLine="709"/>
        <w:jc w:val="both"/>
        <w:rPr>
          <w:rFonts w:ascii="Times New Roman" w:hAnsi="Times New Roman"/>
        </w:rPr>
      </w:pPr>
      <w:r>
        <w:rPr>
          <w:rFonts w:ascii="Times New Roman" w:hAnsi="Times New Roman"/>
          <w:sz w:val="24"/>
        </w:rPr>
        <w:t xml:space="preserve">Аналогичное примечание содержится в </w:t>
      </w:r>
      <w:r>
        <w:rPr>
          <w:rFonts w:ascii="Times New Roman" w:hAnsi="Times New Roman"/>
          <w:sz w:val="24"/>
        </w:rPr>
        <w:t>ст. 228.3</w:t>
      </w:r>
      <w:r>
        <w:rPr>
          <w:rFonts w:ascii="Times New Roman" w:hAnsi="Times New Roman"/>
          <w:sz w:val="24"/>
        </w:rPr>
        <w:t xml:space="preserve"> УК РФ.</w:t>
      </w:r>
    </w:p>
    <w:p w14:paraId="18000000">
      <w:pPr>
        <w:widowControl w:val="1"/>
        <w:spacing w:before="0" w:line="240" w:lineRule="auto"/>
        <w:ind w:firstLine="709"/>
        <w:jc w:val="both"/>
        <w:rPr>
          <w:rFonts w:ascii="Times New Roman" w:hAnsi="Times New Roman"/>
        </w:rPr>
      </w:pPr>
      <w:r>
        <w:rPr>
          <w:rFonts w:ascii="Times New Roman" w:hAnsi="Times New Roman"/>
          <w:sz w:val="24"/>
        </w:rPr>
        <w:t>Добровольность действий будет отсутствовать в случае изобличения лица в совершении преступления и осознания им неизбежности обнаружения и изъятия хранимого им наркотического средства.</w:t>
      </w:r>
    </w:p>
    <w:p w14:paraId="19000000">
      <w:pPr>
        <w:widowControl w:val="1"/>
        <w:spacing w:before="0" w:line="240" w:lineRule="auto"/>
        <w:ind w:firstLine="709"/>
        <w:jc w:val="both"/>
        <w:rPr>
          <w:rFonts w:ascii="Times New Roman" w:hAnsi="Times New Roman"/>
        </w:rPr>
      </w:pPr>
      <w:r>
        <w:rPr>
          <w:rFonts w:ascii="Times New Roman" w:hAnsi="Times New Roman"/>
          <w:sz w:val="24"/>
        </w:rPr>
        <w:t xml:space="preserve">В другом случае, установив, что до сообщения осужденной информации о наличии у нее незаконно хранящегося наркотического средства, правоохранительным органам о нем не было известно, уголовное дело по факту хранения не возбуждалось, следственные действия или оперативно-розыскные мероприятия, направленные на изъятие наркотического средства, не планировались, обнаруженным случайно в результате проведения процессуальных действий с иными целями это наркотическое средство не могло быть ввиду специфичности места его хранения. При таких обстоятельствах нет оснований для отказа в признании в действиях осужденной факта добровольной выдачи наркотического средства. </w:t>
      </w:r>
    </w:p>
    <w:p w14:paraId="1A000000">
      <w:pPr>
        <w:widowControl w:val="1"/>
        <w:spacing w:before="0" w:line="240" w:lineRule="auto"/>
        <w:ind w:firstLine="709"/>
        <w:jc w:val="both"/>
        <w:rPr>
          <w:rFonts w:ascii="Times New Roman" w:hAnsi="Times New Roman"/>
        </w:rPr>
      </w:pPr>
      <w:r>
        <w:rPr>
          <w:rFonts w:ascii="Times New Roman" w:hAnsi="Times New Roman"/>
          <w:sz w:val="24"/>
        </w:rPr>
        <w:t>Добровольная сдача наркотических средств может иметь форму непосредственной выдачи наркотических средств или сообщения о месте их нахождения.</w:t>
      </w:r>
    </w:p>
    <w:p w14:paraId="1B000000">
      <w:pPr>
        <w:widowControl w:val="1"/>
        <w:spacing w:before="0" w:line="240" w:lineRule="auto"/>
        <w:ind w:firstLine="709"/>
        <w:jc w:val="both"/>
        <w:rPr>
          <w:rFonts w:ascii="Times New Roman" w:hAnsi="Times New Roman"/>
        </w:rPr>
      </w:pPr>
      <w:r>
        <w:rPr>
          <w:rFonts w:ascii="Times New Roman" w:hAnsi="Times New Roman"/>
          <w:sz w:val="24"/>
        </w:rPr>
        <w:t>При этом предлагается под выдачей наркотических средств как формой их сдачи понимать вручение таких средств непосредственно ("в руки") представителям власти, когда такие средства находились при виновном лице или в непосредственной близости от него; под сообщением - устное или письменное заявление о наличии наркотических средств, о своем намерении их выдать и месте нахождения таких средств.</w:t>
      </w:r>
    </w:p>
    <w:p w14:paraId="1C000000">
      <w:pPr>
        <w:pStyle w:val="Style_1"/>
        <w:widowControl w:val="1"/>
        <w:spacing w:before="0" w:line="240" w:lineRule="auto"/>
        <w:ind w:firstLine="709"/>
        <w:jc w:val="both"/>
        <w:outlineLvl w:val="0"/>
        <w:rPr>
          <w:rFonts w:ascii="Times New Roman" w:hAnsi="Times New Roman"/>
        </w:rPr>
      </w:pPr>
      <w:r>
        <w:rPr>
          <w:rFonts w:ascii="Times New Roman" w:hAnsi="Times New Roman"/>
          <w:sz w:val="24"/>
        </w:rPr>
        <w:t xml:space="preserve">Освобождение лица от уголовной ответственности в случаях, специально предусмотренных примечаниями к соответствующим статьям </w:t>
      </w:r>
      <w:r>
        <w:rPr>
          <w:rFonts w:ascii="Times New Roman" w:hAnsi="Times New Roman"/>
          <w:sz w:val="24"/>
        </w:rPr>
        <w:t>Особенной части</w:t>
      </w:r>
      <w:r>
        <w:rPr>
          <w:rFonts w:ascii="Times New Roman" w:hAnsi="Times New Roman"/>
          <w:sz w:val="24"/>
        </w:rPr>
        <w:t xml:space="preserve"> УК РФ, не означает отсутствие в деянии состава преступления, поэтому прекращение уголовного дела и (или) уголовного преследования в таких случаях не влечет за собой реабилитацию лица, совершившего преступление.</w:t>
      </w:r>
      <w:r>
        <w:rPr>
          <w:rFonts w:ascii="Times New Roman" w:hAnsi="Times New Roman"/>
        </w:rPr>
        <w:t xml:space="preserve"> </w:t>
      </w:r>
    </w:p>
    <w:p w14:paraId="1D000000">
      <w:pPr>
        <w:widowControl w:val="1"/>
        <w:spacing w:after="0" w:before="0" w:line="240" w:lineRule="auto"/>
        <w:ind w:firstLine="0" w:left="0" w:right="0"/>
        <w:jc w:val="both"/>
        <w:rPr>
          <w:rFonts w:ascii="Times New Roman" w:hAnsi="Times New Roman"/>
          <w:b w:val="0"/>
        </w:rPr>
      </w:pPr>
      <w:r>
        <w:rPr>
          <w:rFonts w:ascii="Times New Roman" w:hAnsi="Times New Roman"/>
          <w:b w:val="0"/>
        </w:rPr>
        <w:t> </w:t>
      </w:r>
    </w:p>
    <w:p w14:paraId="1E000000">
      <w:pPr>
        <w:pStyle w:val="Style_1"/>
        <w:widowControl w:val="1"/>
        <w:ind/>
        <w:jc w:val="center"/>
        <w:outlineLvl w:val="0"/>
        <w:rPr>
          <w:sz w:val="24"/>
        </w:rPr>
      </w:pPr>
    </w:p>
    <w:sectPr>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3" w:type="paragraph">
    <w:name w:val="toc 2"/>
    <w:next w:val="Style_4"/>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5" w:type="paragraph">
    <w:name w:val="toc 4"/>
    <w:next w:val="Style_4"/>
    <w:link w:val="Style_5_ch"/>
    <w:uiPriority w:val="39"/>
    <w:pPr>
      <w:widowControl w:val="1"/>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4"/>
    <w:link w:val="Style_6_ch"/>
    <w:uiPriority w:val="39"/>
    <w:pPr>
      <w:widowControl w:val="1"/>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4"/>
    <w:link w:val="Style_7_ch"/>
    <w:uiPriority w:val="39"/>
    <w:pPr>
      <w:widowControl w:val="1"/>
      <w:ind w:firstLine="0" w:left="1200"/>
      <w:jc w:val="left"/>
    </w:pPr>
    <w:rPr>
      <w:rFonts w:ascii="XO Thames" w:hAnsi="XO Thames"/>
      <w:sz w:val="28"/>
    </w:rPr>
  </w:style>
  <w:style w:styleId="Style_7_ch" w:type="character">
    <w:name w:val="toc 7"/>
    <w:link w:val="Style_7"/>
    <w:rPr>
      <w:rFonts w:ascii="XO Thames" w:hAnsi="XO Thames"/>
      <w:sz w:val="28"/>
    </w:rPr>
  </w:style>
  <w:style w:styleId="Style_4" w:type="paragraph">
    <w:name w:val="Normal"/>
    <w:link w:val="Style_4_ch"/>
    <w:uiPriority w:val="0"/>
    <w:qFormat/>
  </w:style>
  <w:style w:styleId="Style_4_ch" w:type="character">
    <w:name w:val="Normal"/>
    <w:link w:val="Style_4"/>
  </w:style>
  <w:style w:styleId="Style_8" w:type="paragraph">
    <w:name w:val="ConsPlusDocList"/>
    <w:link w:val="Style_8_ch"/>
    <w:pPr>
      <w:widowControl w:val="0"/>
      <w:ind/>
    </w:pPr>
    <w:rPr>
      <w:rFonts w:ascii="Tahoma" w:hAnsi="Tahoma"/>
      <w:sz w:val="18"/>
    </w:rPr>
  </w:style>
  <w:style w:styleId="Style_8_ch" w:type="character">
    <w:name w:val="ConsPlusDocList"/>
    <w:link w:val="Style_8"/>
    <w:rPr>
      <w:rFonts w:ascii="Tahoma" w:hAnsi="Tahoma"/>
      <w:sz w:val="18"/>
    </w:rPr>
  </w:style>
  <w:style w:styleId="Style_1" w:type="paragraph">
    <w:name w:val="ConsPlusTitle"/>
    <w:link w:val="Style_1_ch"/>
    <w:pPr>
      <w:widowControl w:val="0"/>
      <w:ind/>
    </w:pPr>
    <w:rPr>
      <w:rFonts w:ascii="Arial" w:hAnsi="Arial"/>
      <w:b w:val="1"/>
      <w:sz w:val="24"/>
    </w:rPr>
  </w:style>
  <w:style w:styleId="Style_1_ch" w:type="character">
    <w:name w:val="ConsPlusTitle"/>
    <w:link w:val="Style_1"/>
    <w:rPr>
      <w:rFonts w:ascii="Arial" w:hAnsi="Arial"/>
      <w:b w:val="1"/>
      <w:sz w:val="24"/>
    </w:rPr>
  </w:style>
  <w:style w:styleId="Style_9" w:type="paragraph">
    <w:name w:val="Endnote"/>
    <w:link w:val="Style_9_ch"/>
    <w:pPr>
      <w:widowControl w:val="1"/>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widowControl w:val="1"/>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ConsPlusTextList"/>
    <w:link w:val="Style_11_ch"/>
    <w:pPr>
      <w:widowControl w:val="0"/>
      <w:ind/>
    </w:pPr>
    <w:rPr>
      <w:rFonts w:ascii="Times New Roman" w:hAnsi="Times New Roman"/>
      <w:sz w:val="24"/>
    </w:rPr>
  </w:style>
  <w:style w:styleId="Style_11_ch" w:type="character">
    <w:name w:val="ConsPlusTextList"/>
    <w:link w:val="Style_11"/>
    <w:rPr>
      <w:rFonts w:ascii="Times New Roman" w:hAnsi="Times New Roman"/>
      <w:sz w:val="24"/>
    </w:rPr>
  </w:style>
  <w:style w:styleId="Style_12" w:type="paragraph">
    <w:name w:val="ConsPlusJurTerm"/>
    <w:link w:val="Style_12_ch"/>
    <w:pPr>
      <w:widowControl w:val="0"/>
      <w:ind/>
    </w:pPr>
    <w:rPr>
      <w:rFonts w:ascii="Tahoma" w:hAnsi="Tahoma"/>
      <w:sz w:val="26"/>
    </w:rPr>
  </w:style>
  <w:style w:styleId="Style_12_ch" w:type="character">
    <w:name w:val="ConsPlusJurTerm"/>
    <w:link w:val="Style_12"/>
    <w:rPr>
      <w:rFonts w:ascii="Tahoma" w:hAnsi="Tahoma"/>
      <w:sz w:val="26"/>
    </w:rPr>
  </w:style>
  <w:style w:styleId="Style_13" w:type="paragraph">
    <w:name w:val="toc 3"/>
    <w:next w:val="Style_4"/>
    <w:link w:val="Style_13_ch"/>
    <w:uiPriority w:val="39"/>
    <w:pPr>
      <w:widowControl w:val="1"/>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ConsPlusTextList"/>
    <w:link w:val="Style_14_ch"/>
    <w:pPr>
      <w:widowControl w:val="0"/>
      <w:ind/>
    </w:pPr>
    <w:rPr>
      <w:rFonts w:ascii="Times New Roman" w:hAnsi="Times New Roman"/>
      <w:sz w:val="24"/>
    </w:rPr>
  </w:style>
  <w:style w:styleId="Style_14_ch" w:type="character">
    <w:name w:val="ConsPlusTextList"/>
    <w:link w:val="Style_14"/>
    <w:rPr>
      <w:rFonts w:ascii="Times New Roman" w:hAnsi="Times New Roman"/>
      <w:sz w:val="24"/>
    </w:rPr>
  </w:style>
  <w:style w:styleId="Style_15" w:type="paragraph">
    <w:name w:val="heading 5"/>
    <w:next w:val="Style_4"/>
    <w:link w:val="Style_15_ch"/>
    <w:uiPriority w:val="9"/>
    <w:qFormat/>
    <w:pPr>
      <w:widowControl w:val="1"/>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16" w:type="paragraph">
    <w:name w:val="heading 1"/>
    <w:next w:val="Style_4"/>
    <w:link w:val="Style_16_ch"/>
    <w:uiPriority w:val="9"/>
    <w:qFormat/>
    <w:pPr>
      <w:widowControl w:val="1"/>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widowControl w:val="1"/>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4"/>
    <w:link w:val="Style_19_ch"/>
    <w:uiPriority w:val="39"/>
    <w:pPr>
      <w:widowControl w:val="1"/>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widowControl w:val="1"/>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21" w:type="paragraph">
    <w:name w:val="ConsPlusTitlePage"/>
    <w:link w:val="Style_21_ch"/>
    <w:pPr>
      <w:widowControl w:val="0"/>
      <w:ind/>
    </w:pPr>
    <w:rPr>
      <w:rFonts w:ascii="Tahoma" w:hAnsi="Tahoma"/>
      <w:sz w:val="20"/>
    </w:rPr>
  </w:style>
  <w:style w:styleId="Style_21_ch" w:type="character">
    <w:name w:val="ConsPlusTitlePage"/>
    <w:link w:val="Style_21"/>
    <w:rPr>
      <w:rFonts w:ascii="Tahoma" w:hAnsi="Tahoma"/>
      <w:sz w:val="20"/>
    </w:rPr>
  </w:style>
  <w:style w:styleId="Style_22" w:type="paragraph">
    <w:name w:val="ConsPlusCell"/>
    <w:link w:val="Style_22_ch"/>
    <w:pPr>
      <w:widowControl w:val="0"/>
      <w:ind/>
    </w:pPr>
    <w:rPr>
      <w:rFonts w:ascii="Courier New" w:hAnsi="Courier New"/>
      <w:sz w:val="20"/>
    </w:rPr>
  </w:style>
  <w:style w:styleId="Style_22_ch" w:type="character">
    <w:name w:val="ConsPlusCell"/>
    <w:link w:val="Style_22"/>
    <w:rPr>
      <w:rFonts w:ascii="Courier New" w:hAnsi="Courier New"/>
      <w:sz w:val="20"/>
    </w:rPr>
  </w:style>
  <w:style w:styleId="Style_23" w:type="paragraph">
    <w:name w:val="toc 9"/>
    <w:next w:val="Style_4"/>
    <w:link w:val="Style_23_ch"/>
    <w:uiPriority w:val="39"/>
    <w:pPr>
      <w:widowControl w:val="1"/>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toc 8"/>
    <w:next w:val="Style_4"/>
    <w:link w:val="Style_24_ch"/>
    <w:uiPriority w:val="39"/>
    <w:pPr>
      <w:widowControl w:val="1"/>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5" w:type="paragraph">
    <w:name w:val="toc 5"/>
    <w:next w:val="Style_4"/>
    <w:link w:val="Style_25_ch"/>
    <w:uiPriority w:val="39"/>
    <w:pPr>
      <w:widowControl w:val="1"/>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ConsPlusNonformat"/>
    <w:link w:val="Style_26_ch"/>
    <w:pPr>
      <w:widowControl w:val="0"/>
      <w:ind/>
    </w:pPr>
    <w:rPr>
      <w:rFonts w:ascii="Courier New" w:hAnsi="Courier New"/>
      <w:sz w:val="20"/>
    </w:rPr>
  </w:style>
  <w:style w:styleId="Style_26_ch" w:type="character">
    <w:name w:val="ConsPlusNonformat"/>
    <w:link w:val="Style_26"/>
    <w:rPr>
      <w:rFonts w:ascii="Courier New" w:hAnsi="Courier New"/>
      <w:sz w:val="20"/>
    </w:rPr>
  </w:style>
  <w:style w:styleId="Style_27" w:type="paragraph">
    <w:name w:val="Subtitle"/>
    <w:next w:val="Style_4"/>
    <w:link w:val="Style_27_ch"/>
    <w:uiPriority w:val="11"/>
    <w:qFormat/>
    <w:pPr>
      <w:widowControl w:val="1"/>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8" w:type="paragraph">
    <w:name w:val="Title"/>
    <w:next w:val="Style_4"/>
    <w:link w:val="Style_28_ch"/>
    <w:uiPriority w:val="10"/>
    <w:qFormat/>
    <w:pPr>
      <w:widowControl w:val="1"/>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4"/>
    <w:link w:val="Style_29_ch"/>
    <w:uiPriority w:val="9"/>
    <w:qFormat/>
    <w:pPr>
      <w:widowControl w:val="1"/>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4"/>
    <w:link w:val="Style_30_ch"/>
    <w:uiPriority w:val="9"/>
    <w:qFormat/>
    <w:pPr>
      <w:widowControl w:val="1"/>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2026-02-19T08:14:35Z</dcterms:created>
  <dcterms:modified xsi:type="dcterms:W3CDTF">2026-02-19T08:36:43Z</dcterms:modified>
</cp:coreProperties>
</file>